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F6" w:rsidRPr="00EF337C" w:rsidRDefault="003E06F6" w:rsidP="003E06F6">
      <w:pPr>
        <w:spacing w:line="240" w:lineRule="exact"/>
        <w:jc w:val="center"/>
        <w:rPr>
          <w:rFonts w:ascii="Times New Roman" w:hAnsi="Times New Roman" w:cs="Times New Roman"/>
          <w:b/>
          <w:sz w:val="28"/>
          <w:szCs w:val="28"/>
        </w:rPr>
      </w:pPr>
      <w:r w:rsidRPr="00EF337C">
        <w:rPr>
          <w:rFonts w:ascii="Times New Roman" w:hAnsi="Times New Roman" w:cs="Times New Roman"/>
          <w:b/>
          <w:sz w:val="28"/>
          <w:szCs w:val="28"/>
        </w:rPr>
        <w:t>ОБЗОР</w:t>
      </w:r>
    </w:p>
    <w:p w:rsidR="003E06F6" w:rsidRPr="00F03D8A" w:rsidRDefault="003E06F6" w:rsidP="003E06F6">
      <w:pPr>
        <w:autoSpaceDE w:val="0"/>
        <w:autoSpaceDN w:val="0"/>
        <w:adjustRightInd w:val="0"/>
        <w:spacing w:after="0" w:line="240" w:lineRule="exact"/>
        <w:jc w:val="center"/>
        <w:outlineLvl w:val="0"/>
        <w:rPr>
          <w:rFonts w:ascii="Times New Roman" w:hAnsi="Times New Roman" w:cs="Times New Roman"/>
          <w:b/>
          <w:sz w:val="28"/>
          <w:szCs w:val="28"/>
        </w:rPr>
      </w:pPr>
      <w:r w:rsidRPr="00F03D8A">
        <w:rPr>
          <w:rFonts w:ascii="Times New Roman" w:hAnsi="Times New Roman" w:cs="Times New Roman"/>
          <w:b/>
          <w:sz w:val="28"/>
          <w:szCs w:val="28"/>
        </w:rPr>
        <w:t xml:space="preserve">правоприменительной практики по результатам вступивших в законную силу решений судов, арбитражных судов о признании </w:t>
      </w:r>
      <w:proofErr w:type="gramStart"/>
      <w:r w:rsidRPr="00F03D8A">
        <w:rPr>
          <w:rFonts w:ascii="Times New Roman" w:hAnsi="Times New Roman" w:cs="Times New Roman"/>
          <w:b/>
          <w:sz w:val="28"/>
          <w:szCs w:val="28"/>
        </w:rPr>
        <w:t>недействительными</w:t>
      </w:r>
      <w:proofErr w:type="gramEnd"/>
      <w:r w:rsidRPr="00F03D8A">
        <w:rPr>
          <w:rFonts w:ascii="Times New Roman" w:hAnsi="Times New Roman" w:cs="Times New Roman"/>
          <w:b/>
          <w:sz w:val="28"/>
          <w:szCs w:val="28"/>
        </w:rPr>
        <w:t xml:space="preserve"> ненормативных правовых актов, незаконными решений и действий (бездействий)  органов местного самоуправления, организаций и их должностных лиц в целях выработки и принятия мер по предупреждению и устранению причин выявленных нарушений</w:t>
      </w:r>
    </w:p>
    <w:p w:rsidR="003E06F6" w:rsidRDefault="002C4BE2" w:rsidP="003E06F6">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AE0F0B">
        <w:rPr>
          <w:rFonts w:ascii="Times New Roman" w:hAnsi="Times New Roman" w:cs="Times New Roman"/>
          <w:b/>
          <w:sz w:val="28"/>
          <w:szCs w:val="28"/>
        </w:rPr>
        <w:t>2</w:t>
      </w:r>
      <w:r>
        <w:rPr>
          <w:rFonts w:ascii="Times New Roman" w:hAnsi="Times New Roman" w:cs="Times New Roman"/>
          <w:b/>
          <w:sz w:val="28"/>
          <w:szCs w:val="28"/>
        </w:rPr>
        <w:t xml:space="preserve"> квартал 2025</w:t>
      </w:r>
      <w:r w:rsidR="003E06F6">
        <w:rPr>
          <w:rFonts w:ascii="Times New Roman" w:hAnsi="Times New Roman" w:cs="Times New Roman"/>
          <w:b/>
          <w:sz w:val="28"/>
          <w:szCs w:val="28"/>
        </w:rPr>
        <w:t xml:space="preserve"> года</w:t>
      </w:r>
    </w:p>
    <w:p w:rsidR="003E06F6" w:rsidRDefault="003E06F6" w:rsidP="003E06F6">
      <w:pPr>
        <w:jc w:val="both"/>
        <w:rPr>
          <w:rFonts w:ascii="Times New Roman" w:hAnsi="Times New Roman" w:cs="Times New Roman"/>
          <w:sz w:val="28"/>
          <w:szCs w:val="28"/>
        </w:rPr>
      </w:pPr>
      <w:r w:rsidRPr="00EF337C">
        <w:rPr>
          <w:rFonts w:ascii="Times New Roman" w:hAnsi="Times New Roman" w:cs="Times New Roman"/>
          <w:sz w:val="28"/>
          <w:szCs w:val="28"/>
        </w:rPr>
        <w:tab/>
      </w:r>
    </w:p>
    <w:p w:rsidR="003E06F6" w:rsidRDefault="003E06F6" w:rsidP="003E06F6">
      <w:pPr>
        <w:spacing w:after="0"/>
        <w:ind w:firstLine="709"/>
        <w:jc w:val="both"/>
        <w:rPr>
          <w:rFonts w:ascii="Times New Roman" w:hAnsi="Times New Roman" w:cs="Times New Roman"/>
          <w:sz w:val="28"/>
          <w:szCs w:val="28"/>
        </w:rPr>
      </w:pPr>
      <w:r w:rsidRPr="00695D2A">
        <w:rPr>
          <w:rFonts w:ascii="Times New Roman" w:hAnsi="Times New Roman" w:cs="Times New Roman"/>
          <w:sz w:val="28"/>
          <w:szCs w:val="28"/>
        </w:rPr>
        <w:t xml:space="preserve">В соответствии с п. 2.1. ст. 6 Федерального закона от 25.12.2008 г. №273-ФЗ «О противодействии коррупции» одной из мер профилактики коррупции является рассмотрение в органах местного самоуправления не реже одного раза в квартал вопросов правоприменительной </w:t>
      </w:r>
      <w:proofErr w:type="gramStart"/>
      <w:r w:rsidRPr="00695D2A">
        <w:rPr>
          <w:rFonts w:ascii="Times New Roman" w:hAnsi="Times New Roman" w:cs="Times New Roman"/>
          <w:sz w:val="28"/>
          <w:szCs w:val="28"/>
        </w:rPr>
        <w:t>практики</w:t>
      </w:r>
      <w:proofErr w:type="gramEnd"/>
      <w:r w:rsidRPr="00695D2A">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органах государственной власти, </w:t>
      </w:r>
      <w:proofErr w:type="gramStart"/>
      <w:r w:rsidRPr="00695D2A">
        <w:rPr>
          <w:rFonts w:ascii="Times New Roman" w:hAnsi="Times New Roman" w:cs="Times New Roman"/>
          <w:sz w:val="28"/>
          <w:szCs w:val="28"/>
        </w:rPr>
        <w:t>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w:t>
      </w:r>
      <w:r>
        <w:rPr>
          <w:rFonts w:ascii="Times New Roman" w:hAnsi="Times New Roman" w:cs="Times New Roman"/>
          <w:sz w:val="28"/>
          <w:szCs w:val="28"/>
        </w:rPr>
        <w:t>нию причин выявленных нарушений.</w:t>
      </w:r>
      <w:proofErr w:type="gramEnd"/>
    </w:p>
    <w:p w:rsidR="003E06F6" w:rsidRPr="00B605EF" w:rsidRDefault="003E06F6" w:rsidP="003E06F6">
      <w:pPr>
        <w:spacing w:after="0"/>
        <w:ind w:firstLine="709"/>
        <w:jc w:val="both"/>
        <w:rPr>
          <w:rFonts w:ascii="Times New Roman" w:hAnsi="Times New Roman" w:cs="Times New Roman"/>
          <w:sz w:val="28"/>
          <w:szCs w:val="28"/>
        </w:rPr>
      </w:pPr>
      <w:r w:rsidRPr="00B605EF">
        <w:rPr>
          <w:rFonts w:ascii="Times New Roman" w:hAnsi="Times New Roman" w:cs="Times New Roman"/>
          <w:sz w:val="28"/>
          <w:szCs w:val="28"/>
        </w:rPr>
        <w:t xml:space="preserve">Во исполнение вышеназванной нормы </w:t>
      </w:r>
      <w:r w:rsidR="00AE0F0B">
        <w:rPr>
          <w:rFonts w:ascii="Times New Roman" w:hAnsi="Times New Roman" w:cs="Times New Roman"/>
          <w:sz w:val="28"/>
          <w:szCs w:val="28"/>
        </w:rPr>
        <w:t>во 2</w:t>
      </w:r>
      <w:r w:rsidR="002C4BE2">
        <w:rPr>
          <w:rFonts w:ascii="Times New Roman" w:hAnsi="Times New Roman" w:cs="Times New Roman"/>
          <w:sz w:val="28"/>
          <w:szCs w:val="28"/>
        </w:rPr>
        <w:t xml:space="preserve"> квартале 2025</w:t>
      </w:r>
      <w:r w:rsidRPr="00B605EF">
        <w:rPr>
          <w:rFonts w:ascii="Times New Roman" w:hAnsi="Times New Roman" w:cs="Times New Roman"/>
          <w:sz w:val="28"/>
          <w:szCs w:val="28"/>
        </w:rPr>
        <w:t xml:space="preserve"> года был</w:t>
      </w:r>
      <w:r>
        <w:rPr>
          <w:rFonts w:ascii="Times New Roman" w:hAnsi="Times New Roman" w:cs="Times New Roman"/>
          <w:sz w:val="28"/>
          <w:szCs w:val="28"/>
        </w:rPr>
        <w:t>и</w:t>
      </w:r>
      <w:r w:rsidRPr="00B605EF">
        <w:rPr>
          <w:rFonts w:ascii="Times New Roman" w:hAnsi="Times New Roman" w:cs="Times New Roman"/>
          <w:sz w:val="28"/>
          <w:szCs w:val="28"/>
        </w:rPr>
        <w:t xml:space="preserve"> </w:t>
      </w:r>
      <w:r>
        <w:rPr>
          <w:rFonts w:ascii="Times New Roman" w:hAnsi="Times New Roman" w:cs="Times New Roman"/>
          <w:sz w:val="28"/>
          <w:szCs w:val="28"/>
        </w:rPr>
        <w:t>р</w:t>
      </w:r>
      <w:r w:rsidRPr="00B605EF">
        <w:rPr>
          <w:rFonts w:ascii="Times New Roman" w:hAnsi="Times New Roman" w:cs="Times New Roman"/>
          <w:sz w:val="28"/>
          <w:szCs w:val="28"/>
        </w:rPr>
        <w:t>ассмотрен</w:t>
      </w:r>
      <w:r>
        <w:rPr>
          <w:rFonts w:ascii="Times New Roman" w:hAnsi="Times New Roman" w:cs="Times New Roman"/>
          <w:sz w:val="28"/>
          <w:szCs w:val="28"/>
        </w:rPr>
        <w:t>ы</w:t>
      </w:r>
      <w:r w:rsidRPr="00B605EF">
        <w:rPr>
          <w:rFonts w:ascii="Times New Roman" w:hAnsi="Times New Roman" w:cs="Times New Roman"/>
          <w:sz w:val="28"/>
          <w:szCs w:val="28"/>
        </w:rPr>
        <w:t xml:space="preserve"> следующ</w:t>
      </w:r>
      <w:r>
        <w:rPr>
          <w:rFonts w:ascii="Times New Roman" w:hAnsi="Times New Roman" w:cs="Times New Roman"/>
          <w:sz w:val="28"/>
          <w:szCs w:val="28"/>
        </w:rPr>
        <w:t>ие  судебные</w:t>
      </w:r>
      <w:r w:rsidRPr="00B605EF">
        <w:rPr>
          <w:rFonts w:ascii="Times New Roman" w:hAnsi="Times New Roman" w:cs="Times New Roman"/>
          <w:sz w:val="28"/>
          <w:szCs w:val="28"/>
        </w:rPr>
        <w:t xml:space="preserve"> решени</w:t>
      </w:r>
      <w:r>
        <w:rPr>
          <w:rFonts w:ascii="Times New Roman" w:hAnsi="Times New Roman" w:cs="Times New Roman"/>
          <w:sz w:val="28"/>
          <w:szCs w:val="28"/>
        </w:rPr>
        <w:t>я</w:t>
      </w:r>
      <w:r w:rsidRPr="00B605EF">
        <w:rPr>
          <w:rFonts w:ascii="Times New Roman" w:hAnsi="Times New Roman" w:cs="Times New Roman"/>
          <w:sz w:val="28"/>
          <w:szCs w:val="28"/>
        </w:rPr>
        <w:t>:</w:t>
      </w:r>
    </w:p>
    <w:p w:rsidR="00101010" w:rsidRDefault="00101010"/>
    <w:p w:rsidR="003649EE" w:rsidRPr="003649EE" w:rsidRDefault="006F25F2" w:rsidP="003649EE">
      <w:pPr>
        <w:autoSpaceDE w:val="0"/>
        <w:autoSpaceDN w:val="0"/>
        <w:adjustRightInd w:val="0"/>
        <w:spacing w:after="0" w:line="240" w:lineRule="auto"/>
        <w:ind w:left="540"/>
        <w:jc w:val="center"/>
        <w:rPr>
          <w:rFonts w:ascii="Times New Roman" w:hAnsi="Times New Roman" w:cs="Times New Roman"/>
          <w:b/>
          <w:i/>
          <w:iCs/>
          <w:sz w:val="28"/>
          <w:szCs w:val="28"/>
        </w:rPr>
      </w:pPr>
      <w:r w:rsidRPr="003649EE">
        <w:rPr>
          <w:rFonts w:ascii="Times New Roman" w:hAnsi="Times New Roman" w:cs="Times New Roman"/>
          <w:b/>
          <w:i/>
          <w:sz w:val="28"/>
          <w:szCs w:val="28"/>
        </w:rPr>
        <w:t>Дело</w:t>
      </w:r>
      <w:r w:rsidR="007F343A" w:rsidRPr="003649EE">
        <w:rPr>
          <w:rFonts w:ascii="Times New Roman" w:hAnsi="Times New Roman" w:cs="Times New Roman"/>
          <w:b/>
          <w:i/>
          <w:sz w:val="28"/>
          <w:szCs w:val="28"/>
        </w:rPr>
        <w:t xml:space="preserve"> о </w:t>
      </w:r>
      <w:r w:rsidR="003649EE" w:rsidRPr="003649EE">
        <w:rPr>
          <w:rFonts w:ascii="Times New Roman" w:hAnsi="Times New Roman" w:cs="Times New Roman"/>
          <w:b/>
          <w:i/>
          <w:iCs/>
          <w:sz w:val="28"/>
          <w:szCs w:val="28"/>
        </w:rPr>
        <w:t>раздел</w:t>
      </w:r>
      <w:r w:rsidR="003649EE" w:rsidRPr="003649EE">
        <w:rPr>
          <w:rFonts w:ascii="Times New Roman" w:hAnsi="Times New Roman" w:cs="Times New Roman"/>
          <w:b/>
          <w:i/>
          <w:iCs/>
          <w:sz w:val="28"/>
          <w:szCs w:val="28"/>
        </w:rPr>
        <w:t>е</w:t>
      </w:r>
      <w:r w:rsidR="003649EE" w:rsidRPr="003649EE">
        <w:rPr>
          <w:rFonts w:ascii="Times New Roman" w:hAnsi="Times New Roman" w:cs="Times New Roman"/>
          <w:b/>
          <w:i/>
          <w:iCs/>
          <w:sz w:val="28"/>
          <w:szCs w:val="28"/>
        </w:rPr>
        <w:t xml:space="preserve"> жилого дома с образованием объектов блокированной застройки при соблюдении требований градостроительного и земельного законодательства.</w:t>
      </w:r>
    </w:p>
    <w:p w:rsidR="007F343A" w:rsidRPr="006F25F2" w:rsidRDefault="007F343A" w:rsidP="003C6207">
      <w:pPr>
        <w:pStyle w:val="a3"/>
        <w:autoSpaceDE w:val="0"/>
        <w:autoSpaceDN w:val="0"/>
        <w:adjustRightInd w:val="0"/>
        <w:spacing w:after="0"/>
        <w:ind w:left="709"/>
        <w:jc w:val="both"/>
        <w:rPr>
          <w:rFonts w:ascii="Times New Roman" w:hAnsi="Times New Roman" w:cs="Times New Roman"/>
          <w:sz w:val="28"/>
          <w:szCs w:val="28"/>
        </w:rPr>
      </w:pPr>
    </w:p>
    <w:p w:rsidR="00775A40" w:rsidRPr="00775A40" w:rsidRDefault="00775A40" w:rsidP="00775A40">
      <w:pPr>
        <w:autoSpaceDE w:val="0"/>
        <w:autoSpaceDN w:val="0"/>
        <w:adjustRightInd w:val="0"/>
        <w:spacing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В. обратилась в суд с иском к В.З. о прекращении права общей долевой собственности на объект недвижимости, об исключении записи из ЕГРН, о признании права собственности на жилой дом блокированной застройки.</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В обоснование иска указано, что В. является собственником 16/70 долей в праве собственности на спорный жилой дом. </w:t>
      </w:r>
      <w:proofErr w:type="gramStart"/>
      <w:r w:rsidRPr="00775A40">
        <w:rPr>
          <w:rFonts w:ascii="Times New Roman" w:hAnsi="Times New Roman" w:cs="Times New Roman"/>
          <w:bCs/>
          <w:sz w:val="28"/>
          <w:szCs w:val="28"/>
        </w:rPr>
        <w:t>Право собственности на долю в этом доме возникло у Ю. (наследодателя В.) в результате раздела совместно нажитого имущества супругов на основании решения суда от 28 марта 1975 г., которым за Ю. признано право собственности на 16/70 долей в праве на домовладение и по которому ей выделены в натуре в пользование, владение и распоряжение жилая комната с прилегающей к ней</w:t>
      </w:r>
      <w:proofErr w:type="gramEnd"/>
      <w:r w:rsidRPr="00775A40">
        <w:rPr>
          <w:rFonts w:ascii="Times New Roman" w:hAnsi="Times New Roman" w:cs="Times New Roman"/>
          <w:bCs/>
          <w:sz w:val="28"/>
          <w:szCs w:val="28"/>
        </w:rPr>
        <w:t xml:space="preserve"> верандой и коридором, а также надворные постройки и фруктовые деревья. Данное решение суда юридически не исполнено, поскольку дом состоит на </w:t>
      </w:r>
      <w:r w:rsidRPr="00775A40">
        <w:rPr>
          <w:rFonts w:ascii="Times New Roman" w:hAnsi="Times New Roman" w:cs="Times New Roman"/>
          <w:bCs/>
          <w:sz w:val="28"/>
          <w:szCs w:val="28"/>
        </w:rPr>
        <w:lastRenderedPageBreak/>
        <w:t xml:space="preserve">кадастровом учете как объект недвижимости с несколькими собственниками. Ответчику принадлежат 1/2 доля и 19/70 долей в праве собственности на дом. Фактически спорный одноэтажный дом разделен на две части с отдельными входами. Каждая часть дома отвечает признакам жилого дома блокированной застройки, имеет отдельное отопление (индивидуальные газовые котлы), водоснабжение и канализацию. Истец полагала возможным осуществить раздел земельного участка, расположенного под домом, который находится в ведении администрации городского округа. Ответчик без ее согласия заключила с администрацией городского округа договор аренды в отношении всего земельного участка, тогда как решением суда от 5 февраля 2009 г. был определен порядок пользования земельным участком. К соглашению о прекращении права общей долевой собственности на жилой дом стороны не пришли, ответчик от оформления </w:t>
      </w:r>
      <w:proofErr w:type="gramStart"/>
      <w:r w:rsidRPr="00775A40">
        <w:rPr>
          <w:rFonts w:ascii="Times New Roman" w:hAnsi="Times New Roman" w:cs="Times New Roman"/>
          <w:bCs/>
          <w:sz w:val="28"/>
          <w:szCs w:val="28"/>
        </w:rPr>
        <w:t>документов</w:t>
      </w:r>
      <w:proofErr w:type="gramEnd"/>
      <w:r w:rsidRPr="00775A40">
        <w:rPr>
          <w:rFonts w:ascii="Times New Roman" w:hAnsi="Times New Roman" w:cs="Times New Roman"/>
          <w:bCs/>
          <w:sz w:val="28"/>
          <w:szCs w:val="28"/>
        </w:rPr>
        <w:t xml:space="preserve"> на основании ранее вынесенного решения суда отказывается, по месту нахождения имущества не проживает, от получения почтовой корреспонденции уклоняется. Истец просила прекратить право общей долевой собственности между сторонами на жилой дом, исключить из ЕГРН (аннулировать) записи о кадастровом учете и регистрации права общей долевой собственности на дом, признать жилой дом домом блокированной застройки; признать право собственности В. на жилой блок дома блокированной застройки.</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Решением суда, оставленным без изменения апелляционным определением, в удовлетворении исковых требований отказано.</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Кассационный суд общей юрисдикции оставил без изменения решение суда первой инстанции и апелляционное определение.</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Судебная коллегия по гражданским делам Верховного Суда Российской Федерации, проверяя законность обжалуемых судебных постановлений, признала их вынесенными с существенным нарушением норм права, указав следующее.</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С 1 марта 2022 г. вступил в силу Федеральный </w:t>
      </w:r>
      <w:hyperlink r:id="rId6" w:history="1">
        <w:r w:rsidRPr="00775A40">
          <w:rPr>
            <w:rFonts w:ascii="Times New Roman" w:hAnsi="Times New Roman" w:cs="Times New Roman"/>
            <w:bCs/>
            <w:color w:val="0000FF"/>
            <w:sz w:val="28"/>
            <w:szCs w:val="28"/>
          </w:rPr>
          <w:t>закон</w:t>
        </w:r>
      </w:hyperlink>
      <w:r w:rsidRPr="00775A40">
        <w:rPr>
          <w:rFonts w:ascii="Times New Roman" w:hAnsi="Times New Roman" w:cs="Times New Roman"/>
          <w:bCs/>
          <w:sz w:val="28"/>
          <w:szCs w:val="28"/>
        </w:rPr>
        <w:t xml:space="preserve"> от 30 декабря 2021 г. N 476-ФЗ "О внесении изменений в отдельные законодательные акты Российской Федерации" (далее - Федеральный закон N 476-ФЗ), которым среди прочего внесены изменения в Градостроительный </w:t>
      </w:r>
      <w:hyperlink r:id="rId7" w:history="1">
        <w:r w:rsidRPr="00775A40">
          <w:rPr>
            <w:rFonts w:ascii="Times New Roman" w:hAnsi="Times New Roman" w:cs="Times New Roman"/>
            <w:bCs/>
            <w:color w:val="0000FF"/>
            <w:sz w:val="28"/>
            <w:szCs w:val="28"/>
          </w:rPr>
          <w:t>кодекс</w:t>
        </w:r>
      </w:hyperlink>
      <w:r w:rsidRPr="00775A40">
        <w:rPr>
          <w:rFonts w:ascii="Times New Roman" w:hAnsi="Times New Roman" w:cs="Times New Roman"/>
          <w:bCs/>
          <w:sz w:val="28"/>
          <w:szCs w:val="28"/>
        </w:rPr>
        <w:t xml:space="preserve"> Российской Федерации (далее -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hyperlink r:id="rId8" w:history="1">
        <w:r w:rsidRPr="00775A40">
          <w:rPr>
            <w:rFonts w:ascii="Times New Roman" w:hAnsi="Times New Roman" w:cs="Times New Roman"/>
            <w:bCs/>
            <w:color w:val="0000FF"/>
            <w:sz w:val="28"/>
            <w:szCs w:val="28"/>
          </w:rPr>
          <w:t>Статья 1</w:t>
        </w:r>
      </w:hyperlink>
      <w:r w:rsidRPr="00775A40">
        <w:rPr>
          <w:rFonts w:ascii="Times New Roman" w:hAnsi="Times New Roman" w:cs="Times New Roman"/>
          <w:bCs/>
          <w:sz w:val="28"/>
          <w:szCs w:val="28"/>
        </w:rPr>
        <w:t xml:space="preserve">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 дополнена </w:t>
      </w:r>
      <w:hyperlink r:id="rId9" w:history="1">
        <w:r w:rsidRPr="00775A40">
          <w:rPr>
            <w:rFonts w:ascii="Times New Roman" w:hAnsi="Times New Roman" w:cs="Times New Roman"/>
            <w:bCs/>
            <w:color w:val="0000FF"/>
            <w:sz w:val="28"/>
            <w:szCs w:val="28"/>
          </w:rPr>
          <w:t>пунктом 40</w:t>
        </w:r>
      </w:hyperlink>
      <w:r w:rsidRPr="00775A40">
        <w:rPr>
          <w:rFonts w:ascii="Times New Roman" w:hAnsi="Times New Roman" w:cs="Times New Roman"/>
          <w:bCs/>
          <w:sz w:val="28"/>
          <w:szCs w:val="28"/>
        </w:rPr>
        <w:t>, в котором определено, что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75A40">
        <w:rPr>
          <w:rFonts w:ascii="Times New Roman" w:hAnsi="Times New Roman" w:cs="Times New Roman"/>
          <w:bCs/>
          <w:sz w:val="28"/>
          <w:szCs w:val="28"/>
        </w:rPr>
        <w:t xml:space="preserve">Согласно </w:t>
      </w:r>
      <w:hyperlink r:id="rId10" w:history="1">
        <w:r w:rsidRPr="00775A40">
          <w:rPr>
            <w:rFonts w:ascii="Times New Roman" w:hAnsi="Times New Roman" w:cs="Times New Roman"/>
            <w:bCs/>
            <w:color w:val="0000FF"/>
            <w:sz w:val="28"/>
            <w:szCs w:val="28"/>
          </w:rPr>
          <w:t>пункту 2 части 2 статьи 49</w:t>
        </w:r>
      </w:hyperlink>
      <w:r w:rsidRPr="00775A40">
        <w:rPr>
          <w:rFonts w:ascii="Times New Roman" w:hAnsi="Times New Roman" w:cs="Times New Roman"/>
          <w:bCs/>
          <w:sz w:val="28"/>
          <w:szCs w:val="28"/>
        </w:rPr>
        <w:t xml:space="preserve">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 экспертиза не проводится в отношении проектной документации дома блокированной застройки в </w:t>
      </w:r>
      <w:r w:rsidRPr="00775A40">
        <w:rPr>
          <w:rFonts w:ascii="Times New Roman" w:hAnsi="Times New Roman" w:cs="Times New Roman"/>
          <w:bCs/>
          <w:sz w:val="28"/>
          <w:szCs w:val="28"/>
        </w:rPr>
        <w:lastRenderedPageBreak/>
        <w:t>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roofErr w:type="gramEnd"/>
      <w:r w:rsidRPr="00775A40">
        <w:rPr>
          <w:rFonts w:ascii="Times New Roman" w:hAnsi="Times New Roman" w:cs="Times New Roman"/>
          <w:bCs/>
          <w:sz w:val="28"/>
          <w:szCs w:val="28"/>
        </w:rPr>
        <w:t xml:space="preserve"> В результате внесенных в </w:t>
      </w:r>
      <w:hyperlink r:id="rId11" w:history="1">
        <w:proofErr w:type="spellStart"/>
        <w:r w:rsidRPr="00775A40">
          <w:rPr>
            <w:rFonts w:ascii="Times New Roman" w:hAnsi="Times New Roman" w:cs="Times New Roman"/>
            <w:bCs/>
            <w:color w:val="0000FF"/>
            <w:sz w:val="28"/>
            <w:szCs w:val="28"/>
          </w:rPr>
          <w:t>ГрК</w:t>
        </w:r>
        <w:proofErr w:type="spellEnd"/>
      </w:hyperlink>
      <w:r w:rsidRPr="00775A40">
        <w:rPr>
          <w:rFonts w:ascii="Times New Roman" w:hAnsi="Times New Roman" w:cs="Times New Roman"/>
          <w:bCs/>
          <w:sz w:val="28"/>
          <w:szCs w:val="28"/>
        </w:rPr>
        <w:t xml:space="preserve"> РФ изменений из указанной </w:t>
      </w:r>
      <w:hyperlink r:id="rId12" w:history="1">
        <w:r w:rsidRPr="00775A40">
          <w:rPr>
            <w:rFonts w:ascii="Times New Roman" w:hAnsi="Times New Roman" w:cs="Times New Roman"/>
            <w:bCs/>
            <w:color w:val="0000FF"/>
            <w:sz w:val="28"/>
            <w:szCs w:val="28"/>
          </w:rPr>
          <w:t>нормы</w:t>
        </w:r>
      </w:hyperlink>
      <w:r w:rsidRPr="00775A40">
        <w:rPr>
          <w:rFonts w:ascii="Times New Roman" w:hAnsi="Times New Roman" w:cs="Times New Roman"/>
          <w:bCs/>
          <w:sz w:val="28"/>
          <w:szCs w:val="28"/>
        </w:rPr>
        <w:t xml:space="preserve"> среди прочего исключены требования по размещению жилого дома (блока) на отдельном земельном участке.</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75A40">
        <w:rPr>
          <w:rFonts w:ascii="Times New Roman" w:hAnsi="Times New Roman" w:cs="Times New Roman"/>
          <w:bCs/>
          <w:sz w:val="28"/>
          <w:szCs w:val="28"/>
        </w:rPr>
        <w:t xml:space="preserve">В соответствии с </w:t>
      </w:r>
      <w:hyperlink r:id="rId13" w:history="1">
        <w:r w:rsidRPr="00775A40">
          <w:rPr>
            <w:rFonts w:ascii="Times New Roman" w:hAnsi="Times New Roman" w:cs="Times New Roman"/>
            <w:bCs/>
            <w:color w:val="0000FF"/>
            <w:sz w:val="28"/>
            <w:szCs w:val="28"/>
          </w:rPr>
          <w:t>частью 1 статьи 16</w:t>
        </w:r>
      </w:hyperlink>
      <w:r w:rsidRPr="00775A40">
        <w:rPr>
          <w:rFonts w:ascii="Times New Roman" w:hAnsi="Times New Roman" w:cs="Times New Roman"/>
          <w:bCs/>
          <w:sz w:val="28"/>
          <w:szCs w:val="28"/>
        </w:rPr>
        <w:t xml:space="preserve"> Федерального закона N 476-ФЗ блок, указанный в </w:t>
      </w:r>
      <w:hyperlink r:id="rId14" w:history="1">
        <w:r w:rsidRPr="00775A40">
          <w:rPr>
            <w:rFonts w:ascii="Times New Roman" w:hAnsi="Times New Roman" w:cs="Times New Roman"/>
            <w:bCs/>
            <w:color w:val="0000FF"/>
            <w:sz w:val="28"/>
            <w:szCs w:val="28"/>
          </w:rPr>
          <w:t>пункте 2 части 2 статьи 49</w:t>
        </w:r>
      </w:hyperlink>
      <w:r w:rsidRPr="00775A40">
        <w:rPr>
          <w:rFonts w:ascii="Times New Roman" w:hAnsi="Times New Roman" w:cs="Times New Roman"/>
          <w:bCs/>
          <w:sz w:val="28"/>
          <w:szCs w:val="28"/>
        </w:rPr>
        <w:t xml:space="preserve">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 (в редакции, действовавшей до дня вступления в силу названного федерального закона), соответствующий признакам, указанным в </w:t>
      </w:r>
      <w:hyperlink r:id="rId15" w:history="1">
        <w:r w:rsidRPr="00775A40">
          <w:rPr>
            <w:rFonts w:ascii="Times New Roman" w:hAnsi="Times New Roman" w:cs="Times New Roman"/>
            <w:bCs/>
            <w:color w:val="0000FF"/>
            <w:sz w:val="28"/>
            <w:szCs w:val="28"/>
          </w:rPr>
          <w:t>пункте 40 статьи 1</w:t>
        </w:r>
      </w:hyperlink>
      <w:r w:rsidRPr="00775A40">
        <w:rPr>
          <w:rFonts w:ascii="Times New Roman" w:hAnsi="Times New Roman" w:cs="Times New Roman"/>
          <w:bCs/>
          <w:sz w:val="28"/>
          <w:szCs w:val="28"/>
        </w:rPr>
        <w:t xml:space="preserve">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 со дня вступления в силу этого федерального закона признается домом блокированной застройки независимо от того, является ли</w:t>
      </w:r>
      <w:proofErr w:type="gramEnd"/>
      <w:r w:rsidRPr="00775A40">
        <w:rPr>
          <w:rFonts w:ascii="Times New Roman" w:hAnsi="Times New Roman" w:cs="Times New Roman"/>
          <w:bCs/>
          <w:sz w:val="28"/>
          <w:szCs w:val="28"/>
        </w:rPr>
        <w:t xml:space="preserve"> данный блок зданием или помещением в здании.</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hyperlink r:id="rId16" w:history="1">
        <w:proofErr w:type="gramStart"/>
        <w:r w:rsidRPr="00775A40">
          <w:rPr>
            <w:rFonts w:ascii="Times New Roman" w:hAnsi="Times New Roman" w:cs="Times New Roman"/>
            <w:bCs/>
            <w:color w:val="0000FF"/>
            <w:sz w:val="28"/>
            <w:szCs w:val="28"/>
          </w:rPr>
          <w:t>Частью 3 статьи 16</w:t>
        </w:r>
      </w:hyperlink>
      <w:r w:rsidRPr="00775A40">
        <w:rPr>
          <w:rFonts w:ascii="Times New Roman" w:hAnsi="Times New Roman" w:cs="Times New Roman"/>
          <w:bCs/>
          <w:sz w:val="28"/>
          <w:szCs w:val="28"/>
        </w:rPr>
        <w:t xml:space="preserve"> Федерального закона N 476-ФЗ предусмотрено, что в случае, если до дня вступления в силу данного федерального закона в ЕГРН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w:t>
      </w:r>
      <w:hyperlink r:id="rId17" w:history="1">
        <w:r w:rsidRPr="00775A40">
          <w:rPr>
            <w:rFonts w:ascii="Times New Roman" w:hAnsi="Times New Roman" w:cs="Times New Roman"/>
            <w:bCs/>
            <w:color w:val="0000FF"/>
            <w:sz w:val="28"/>
            <w:szCs w:val="28"/>
          </w:rPr>
          <w:t>пункте 2 части 2 статьи 49</w:t>
        </w:r>
      </w:hyperlink>
      <w:r w:rsidRPr="00775A40">
        <w:rPr>
          <w:rFonts w:ascii="Times New Roman" w:hAnsi="Times New Roman" w:cs="Times New Roman"/>
          <w:bCs/>
          <w:sz w:val="28"/>
          <w:szCs w:val="28"/>
        </w:rPr>
        <w:t xml:space="preserve"> </w:t>
      </w:r>
      <w:proofErr w:type="spellStart"/>
      <w:r w:rsidRPr="00775A40">
        <w:rPr>
          <w:rFonts w:ascii="Times New Roman" w:hAnsi="Times New Roman" w:cs="Times New Roman"/>
          <w:bCs/>
          <w:sz w:val="28"/>
          <w:szCs w:val="28"/>
        </w:rPr>
        <w:t>ГрК</w:t>
      </w:r>
      <w:proofErr w:type="spellEnd"/>
      <w:r w:rsidRPr="00775A40">
        <w:rPr>
          <w:rFonts w:ascii="Times New Roman" w:hAnsi="Times New Roman" w:cs="Times New Roman"/>
          <w:bCs/>
          <w:sz w:val="28"/>
          <w:szCs w:val="28"/>
        </w:rPr>
        <w:t xml:space="preserve"> РФ (в редакции, действовавшей до</w:t>
      </w:r>
      <w:proofErr w:type="gramEnd"/>
      <w:r w:rsidRPr="00775A40">
        <w:rPr>
          <w:rFonts w:ascii="Times New Roman" w:hAnsi="Times New Roman" w:cs="Times New Roman"/>
          <w:bCs/>
          <w:sz w:val="28"/>
          <w:szCs w:val="28"/>
        </w:rPr>
        <w:t xml:space="preserve"> </w:t>
      </w:r>
      <w:proofErr w:type="gramStart"/>
      <w:r w:rsidRPr="00775A40">
        <w:rPr>
          <w:rFonts w:ascii="Times New Roman" w:hAnsi="Times New Roman" w:cs="Times New Roman"/>
          <w:bCs/>
          <w:sz w:val="28"/>
          <w:szCs w:val="28"/>
        </w:rPr>
        <w:t>дня вступления в силу названного федерального закона), и зарегистрированы права на такие блоки, собственники указанных блоков вправе совместным решением уполномочить одного из собственников таких блоков на обращение от имени всех собственников блоков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с заявлением об</w:t>
      </w:r>
      <w:proofErr w:type="gramEnd"/>
      <w:r w:rsidRPr="00775A40">
        <w:rPr>
          <w:rFonts w:ascii="Times New Roman" w:hAnsi="Times New Roman" w:cs="Times New Roman"/>
          <w:bCs/>
          <w:sz w:val="28"/>
          <w:szCs w:val="28"/>
        </w:rPr>
        <w:t xml:space="preserve"> </w:t>
      </w:r>
      <w:proofErr w:type="gramStart"/>
      <w:r w:rsidRPr="00775A40">
        <w:rPr>
          <w:rFonts w:ascii="Times New Roman" w:hAnsi="Times New Roman" w:cs="Times New Roman"/>
          <w:bCs/>
          <w:sz w:val="28"/>
          <w:szCs w:val="28"/>
        </w:rPr>
        <w:t>учете</w:t>
      </w:r>
      <w:proofErr w:type="gramEnd"/>
      <w:r w:rsidRPr="00775A40">
        <w:rPr>
          <w:rFonts w:ascii="Times New Roman" w:hAnsi="Times New Roman" w:cs="Times New Roman"/>
          <w:bCs/>
          <w:sz w:val="28"/>
          <w:szCs w:val="28"/>
        </w:rPr>
        <w:t xml:space="preserve"> изменений сведений ЕГРН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данным федеральным законом. Отсутствие в градостроительном регламенте, утвержденном применительно к территориальной зоне, в границах которой расположены такие объекты, указания на соответствующий вид объекта недвижимости и вид его разрешенного использования, а также утвержденных параметров разрешенного строительства таких объектов не является препятствием для внесения в ЕГРН указанных сведений.</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Таким образом, с 1 марта 2022 г. в законодательство, устанавливающее правовой режим домов блокированной застройки, внесены изменения, в том числе дано определение дома блокированной застройки, исключены требования об образовании самостоятельного земельного участка под каждым домом блокированной застройки. Собственник каждого блока после </w:t>
      </w:r>
      <w:r w:rsidRPr="00775A40">
        <w:rPr>
          <w:rFonts w:ascii="Times New Roman" w:hAnsi="Times New Roman" w:cs="Times New Roman"/>
          <w:bCs/>
          <w:sz w:val="28"/>
          <w:szCs w:val="28"/>
        </w:rPr>
        <w:lastRenderedPageBreak/>
        <w:t>государственной регистрации права на такой блок вправе обеспечить образование необходимого земельного участка, находящегося в государственной или муниципальной собственности, занятого и необходимого для эксплуатации принадлежащего ему блока.</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В то же время нижестоящие судебные инстанции указанные выше нормы закона с учетом изменений, внесенных Федеральным </w:t>
      </w:r>
      <w:hyperlink r:id="rId18" w:history="1">
        <w:r w:rsidRPr="00775A40">
          <w:rPr>
            <w:rFonts w:ascii="Times New Roman" w:hAnsi="Times New Roman" w:cs="Times New Roman"/>
            <w:bCs/>
            <w:color w:val="0000FF"/>
            <w:sz w:val="28"/>
            <w:szCs w:val="28"/>
          </w:rPr>
          <w:t>законом</w:t>
        </w:r>
      </w:hyperlink>
      <w:r w:rsidRPr="00775A40">
        <w:rPr>
          <w:rFonts w:ascii="Times New Roman" w:hAnsi="Times New Roman" w:cs="Times New Roman"/>
          <w:bCs/>
          <w:sz w:val="28"/>
          <w:szCs w:val="28"/>
        </w:rPr>
        <w:t xml:space="preserve"> N 476-ФЗ, не применили.</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hyperlink r:id="rId19" w:history="1">
        <w:r w:rsidRPr="00775A40">
          <w:rPr>
            <w:rFonts w:ascii="Times New Roman" w:hAnsi="Times New Roman" w:cs="Times New Roman"/>
            <w:bCs/>
            <w:color w:val="0000FF"/>
            <w:sz w:val="28"/>
            <w:szCs w:val="28"/>
          </w:rPr>
          <w:t>Приказом</w:t>
        </w:r>
      </w:hyperlink>
      <w:r w:rsidRPr="00775A40">
        <w:rPr>
          <w:rFonts w:ascii="Times New Roman" w:hAnsi="Times New Roman" w:cs="Times New Roman"/>
          <w:bCs/>
          <w:sz w:val="28"/>
          <w:szCs w:val="28"/>
        </w:rPr>
        <w:t xml:space="preserve"> Минстроя России от 17 мая 2023 г. N 350-пр внесены изменения в термины, данные в </w:t>
      </w:r>
      <w:hyperlink r:id="rId20" w:history="1">
        <w:r w:rsidRPr="00775A40">
          <w:rPr>
            <w:rFonts w:ascii="Times New Roman" w:hAnsi="Times New Roman" w:cs="Times New Roman"/>
            <w:bCs/>
            <w:color w:val="0000FF"/>
            <w:sz w:val="28"/>
            <w:szCs w:val="28"/>
          </w:rPr>
          <w:t>пунктах 3.1</w:t>
        </w:r>
      </w:hyperlink>
      <w:r w:rsidRPr="00775A40">
        <w:rPr>
          <w:rFonts w:ascii="Times New Roman" w:hAnsi="Times New Roman" w:cs="Times New Roman"/>
          <w:bCs/>
          <w:sz w:val="28"/>
          <w:szCs w:val="28"/>
        </w:rPr>
        <w:t xml:space="preserve"> - </w:t>
      </w:r>
      <w:hyperlink r:id="rId21" w:history="1">
        <w:r w:rsidRPr="00775A40">
          <w:rPr>
            <w:rFonts w:ascii="Times New Roman" w:hAnsi="Times New Roman" w:cs="Times New Roman"/>
            <w:bCs/>
            <w:color w:val="0000FF"/>
            <w:sz w:val="28"/>
            <w:szCs w:val="28"/>
          </w:rPr>
          <w:t>3.3</w:t>
        </w:r>
      </w:hyperlink>
      <w:r w:rsidRPr="00775A40">
        <w:rPr>
          <w:rFonts w:ascii="Times New Roman" w:hAnsi="Times New Roman" w:cs="Times New Roman"/>
          <w:bCs/>
          <w:sz w:val="28"/>
          <w:szCs w:val="28"/>
        </w:rPr>
        <w:t xml:space="preserve"> СП 55.13330.2016. Свод правил. Дома жилые одноквартирные. СНиП 31-02-2001, утвержденного и введенного в действие </w:t>
      </w:r>
      <w:hyperlink r:id="rId22" w:history="1">
        <w:r w:rsidRPr="00775A40">
          <w:rPr>
            <w:rFonts w:ascii="Times New Roman" w:hAnsi="Times New Roman" w:cs="Times New Roman"/>
            <w:bCs/>
            <w:color w:val="0000FF"/>
            <w:sz w:val="28"/>
            <w:szCs w:val="28"/>
          </w:rPr>
          <w:t>приказом</w:t>
        </w:r>
      </w:hyperlink>
      <w:r w:rsidRPr="00775A40">
        <w:rPr>
          <w:rFonts w:ascii="Times New Roman" w:hAnsi="Times New Roman" w:cs="Times New Roman"/>
          <w:bCs/>
          <w:sz w:val="28"/>
          <w:szCs w:val="28"/>
        </w:rPr>
        <w:t xml:space="preserve"> Минстроя России от 20 октября 2016 г. N 725/пр. </w:t>
      </w:r>
      <w:proofErr w:type="gramStart"/>
      <w:r w:rsidRPr="00775A40">
        <w:rPr>
          <w:rFonts w:ascii="Times New Roman" w:hAnsi="Times New Roman" w:cs="Times New Roman"/>
          <w:bCs/>
          <w:sz w:val="28"/>
          <w:szCs w:val="28"/>
        </w:rPr>
        <w:t xml:space="preserve">Согласно </w:t>
      </w:r>
      <w:hyperlink r:id="rId23" w:history="1">
        <w:r w:rsidRPr="00775A40">
          <w:rPr>
            <w:rFonts w:ascii="Times New Roman" w:hAnsi="Times New Roman" w:cs="Times New Roman"/>
            <w:bCs/>
            <w:color w:val="0000FF"/>
            <w:sz w:val="28"/>
            <w:szCs w:val="28"/>
          </w:rPr>
          <w:t>пункту 3.1</w:t>
        </w:r>
      </w:hyperlink>
      <w:r w:rsidRPr="00775A40">
        <w:rPr>
          <w:rFonts w:ascii="Times New Roman" w:hAnsi="Times New Roman" w:cs="Times New Roman"/>
          <w:bCs/>
          <w:sz w:val="28"/>
          <w:szCs w:val="28"/>
        </w:rPr>
        <w:t xml:space="preserve"> данного свода правил (в редакции, действующей с 18 июня 2023 г.) домом блокированной застройки жилым индивидуальным (блокированным жилым домом) признается индивидуальный жилой дом, блокированный с другим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roofErr w:type="gramEnd"/>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75A40">
        <w:rPr>
          <w:rFonts w:ascii="Times New Roman" w:hAnsi="Times New Roman" w:cs="Times New Roman"/>
          <w:bCs/>
          <w:sz w:val="28"/>
          <w:szCs w:val="28"/>
        </w:rPr>
        <w:t>Кроме того, судами не было принято во внимание, что вступившим в законную силу решением суда от 28 марта 1975 г. произведен выдел принадлежащей Ю. (наследодателю В.) доли в жилом доме в натуре, однако ответчиком осуществлена постановка на учет спорного домовладения как единого объекта без учета состоявшегося решения суда, обязательного для исполнения.</w:t>
      </w:r>
      <w:proofErr w:type="gramEnd"/>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Выводы, содержащиеся в заключени</w:t>
      </w:r>
      <w:proofErr w:type="gramStart"/>
      <w:r w:rsidRPr="00775A40">
        <w:rPr>
          <w:rFonts w:ascii="Times New Roman" w:hAnsi="Times New Roman" w:cs="Times New Roman"/>
          <w:bCs/>
          <w:sz w:val="28"/>
          <w:szCs w:val="28"/>
        </w:rPr>
        <w:t>и</w:t>
      </w:r>
      <w:proofErr w:type="gramEnd"/>
      <w:r w:rsidRPr="00775A40">
        <w:rPr>
          <w:rFonts w:ascii="Times New Roman" w:hAnsi="Times New Roman" w:cs="Times New Roman"/>
          <w:bCs/>
          <w:sz w:val="28"/>
          <w:szCs w:val="28"/>
        </w:rPr>
        <w:t xml:space="preserve"> кадастрового инженера от 30 июня 2022 г., о том, что спорный дом состоит из самостоятельных частей, отвечает признакам блокированной застройки, имеет самостоятельные выходы на земельный участок и длительное время эксплуатируется сторонами как дом блокированной застройки, не опровергнуты.</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Вопрос о проведении по делу судебной строительно-технической экспертизы в соответствии с </w:t>
      </w:r>
      <w:hyperlink r:id="rId24" w:history="1">
        <w:r w:rsidRPr="00775A40">
          <w:rPr>
            <w:rFonts w:ascii="Times New Roman" w:hAnsi="Times New Roman" w:cs="Times New Roman"/>
            <w:bCs/>
            <w:color w:val="0000FF"/>
            <w:sz w:val="28"/>
            <w:szCs w:val="28"/>
          </w:rPr>
          <w:t>частью 1 статьи 79</w:t>
        </w:r>
      </w:hyperlink>
      <w:r w:rsidRPr="00775A40">
        <w:rPr>
          <w:rFonts w:ascii="Times New Roman" w:hAnsi="Times New Roman" w:cs="Times New Roman"/>
          <w:bCs/>
          <w:sz w:val="28"/>
          <w:szCs w:val="28"/>
        </w:rPr>
        <w:t xml:space="preserve"> ГПК РФ на обсуждение сторон в ходе рассмотрения данного спора судами первой и апелляционной инстанций не ставился, в связи с этим вывод судебных инстанций о том, что жилой дом признакам блокированной застройки не отвечает, правомерным </w:t>
      </w:r>
      <w:proofErr w:type="gramStart"/>
      <w:r w:rsidRPr="00775A40">
        <w:rPr>
          <w:rFonts w:ascii="Times New Roman" w:hAnsi="Times New Roman" w:cs="Times New Roman"/>
          <w:bCs/>
          <w:sz w:val="28"/>
          <w:szCs w:val="28"/>
        </w:rPr>
        <w:t>признан</w:t>
      </w:r>
      <w:proofErr w:type="gramEnd"/>
      <w:r w:rsidRPr="00775A40">
        <w:rPr>
          <w:rFonts w:ascii="Times New Roman" w:hAnsi="Times New Roman" w:cs="Times New Roman"/>
          <w:bCs/>
          <w:sz w:val="28"/>
          <w:szCs w:val="28"/>
        </w:rPr>
        <w:t xml:space="preserve"> быть не может, поскольку иными доказательствами не подтвержден и не </w:t>
      </w:r>
      <w:proofErr w:type="gramStart"/>
      <w:r w:rsidRPr="00775A40">
        <w:rPr>
          <w:rFonts w:ascii="Times New Roman" w:hAnsi="Times New Roman" w:cs="Times New Roman"/>
          <w:bCs/>
          <w:sz w:val="28"/>
          <w:szCs w:val="28"/>
        </w:rPr>
        <w:t>основан</w:t>
      </w:r>
      <w:proofErr w:type="gramEnd"/>
      <w:r w:rsidRPr="00775A40">
        <w:rPr>
          <w:rFonts w:ascii="Times New Roman" w:hAnsi="Times New Roman" w:cs="Times New Roman"/>
          <w:bCs/>
          <w:sz w:val="28"/>
          <w:szCs w:val="28"/>
        </w:rPr>
        <w:t xml:space="preserve"> на установленных обстоятельствах по делу.</w:t>
      </w:r>
    </w:p>
    <w:p w:rsidR="00775A40" w:rsidRPr="00775A40" w:rsidRDefault="00775A40" w:rsidP="00775A40">
      <w:pPr>
        <w:autoSpaceDE w:val="0"/>
        <w:autoSpaceDN w:val="0"/>
        <w:adjustRightInd w:val="0"/>
        <w:spacing w:before="280" w:after="0" w:line="240" w:lineRule="auto"/>
        <w:ind w:firstLine="540"/>
        <w:jc w:val="both"/>
        <w:rPr>
          <w:rFonts w:ascii="Times New Roman" w:hAnsi="Times New Roman" w:cs="Times New Roman"/>
          <w:bCs/>
          <w:sz w:val="28"/>
          <w:szCs w:val="28"/>
        </w:rPr>
      </w:pPr>
      <w:r w:rsidRPr="00775A40">
        <w:rPr>
          <w:rFonts w:ascii="Times New Roman" w:hAnsi="Times New Roman" w:cs="Times New Roman"/>
          <w:bCs/>
          <w:sz w:val="28"/>
          <w:szCs w:val="28"/>
        </w:rPr>
        <w:t xml:space="preserve">С учетом того, что судебными инстанциями при рассмотрении исковых требований В. не применены нормы материального права, подлежащие применению к спорным отношениям, Судебная коллегия по гражданским делам Верховного Суда Российской Федерации отменила состоявшиеся по </w:t>
      </w:r>
      <w:r w:rsidRPr="00775A40">
        <w:rPr>
          <w:rFonts w:ascii="Times New Roman" w:hAnsi="Times New Roman" w:cs="Times New Roman"/>
          <w:bCs/>
          <w:sz w:val="28"/>
          <w:szCs w:val="28"/>
        </w:rPr>
        <w:lastRenderedPageBreak/>
        <w:t>делу судебные постановления с направлением дела на новое рассмотрение в суд первой инстанции.</w:t>
      </w:r>
    </w:p>
    <w:p w:rsidR="006F25F2" w:rsidRPr="006F25F2" w:rsidRDefault="006F25F2" w:rsidP="006F25F2">
      <w:pPr>
        <w:autoSpaceDE w:val="0"/>
        <w:autoSpaceDN w:val="0"/>
        <w:adjustRightInd w:val="0"/>
        <w:spacing w:after="0" w:line="240" w:lineRule="auto"/>
        <w:ind w:left="540"/>
        <w:jc w:val="both"/>
        <w:rPr>
          <w:rFonts w:ascii="Times New Roman" w:hAnsi="Times New Roman" w:cs="Times New Roman"/>
          <w:sz w:val="28"/>
          <w:szCs w:val="28"/>
        </w:rPr>
      </w:pPr>
    </w:p>
    <w:p w:rsidR="007F343A" w:rsidRDefault="006F25F2" w:rsidP="003649EE">
      <w:pPr>
        <w:autoSpaceDE w:val="0"/>
        <w:autoSpaceDN w:val="0"/>
        <w:adjustRightInd w:val="0"/>
        <w:spacing w:after="0" w:line="240" w:lineRule="auto"/>
        <w:ind w:left="2124" w:firstLine="6"/>
        <w:jc w:val="both"/>
        <w:rPr>
          <w:rFonts w:ascii="Times New Roman" w:hAnsi="Times New Roman" w:cs="Times New Roman"/>
          <w:i/>
          <w:sz w:val="28"/>
          <w:szCs w:val="28"/>
        </w:rPr>
      </w:pPr>
      <w:r w:rsidRPr="00D4322F">
        <w:rPr>
          <w:rFonts w:ascii="Times New Roman" w:hAnsi="Times New Roman" w:cs="Times New Roman"/>
          <w:i/>
          <w:sz w:val="28"/>
          <w:szCs w:val="28"/>
        </w:rPr>
        <w:t xml:space="preserve">Определение Верховного Суда РФ </w:t>
      </w:r>
      <w:r w:rsidRPr="003649EE">
        <w:rPr>
          <w:rFonts w:ascii="Times New Roman" w:hAnsi="Times New Roman" w:cs="Times New Roman"/>
          <w:i/>
          <w:sz w:val="28"/>
          <w:szCs w:val="28"/>
        </w:rPr>
        <w:t xml:space="preserve">от </w:t>
      </w:r>
      <w:r w:rsidR="003649EE" w:rsidRPr="003649EE">
        <w:rPr>
          <w:rFonts w:ascii="Times New Roman" w:hAnsi="Times New Roman" w:cs="Times New Roman"/>
          <w:i/>
          <w:sz w:val="28"/>
          <w:szCs w:val="28"/>
        </w:rPr>
        <w:t>4 июня 2024 г. N 16-КГ24-1-К4</w:t>
      </w:r>
    </w:p>
    <w:p w:rsidR="003649EE" w:rsidRDefault="003649EE" w:rsidP="003649EE">
      <w:pPr>
        <w:autoSpaceDE w:val="0"/>
        <w:autoSpaceDN w:val="0"/>
        <w:adjustRightInd w:val="0"/>
        <w:spacing w:after="0" w:line="240" w:lineRule="auto"/>
        <w:ind w:left="540"/>
        <w:jc w:val="center"/>
        <w:rPr>
          <w:rFonts w:ascii="Times New Roman" w:hAnsi="Times New Roman" w:cs="Times New Roman"/>
          <w:b/>
          <w:i/>
          <w:sz w:val="28"/>
          <w:szCs w:val="28"/>
        </w:rPr>
      </w:pPr>
    </w:p>
    <w:p w:rsidR="003649EE" w:rsidRDefault="003649EE" w:rsidP="003649EE">
      <w:pPr>
        <w:autoSpaceDE w:val="0"/>
        <w:autoSpaceDN w:val="0"/>
        <w:adjustRightInd w:val="0"/>
        <w:spacing w:after="0" w:line="240" w:lineRule="auto"/>
        <w:ind w:left="540"/>
        <w:jc w:val="center"/>
        <w:rPr>
          <w:rFonts w:ascii="Times New Roman" w:hAnsi="Times New Roman" w:cs="Times New Roman"/>
          <w:b/>
          <w:i/>
          <w:sz w:val="28"/>
          <w:szCs w:val="28"/>
        </w:rPr>
      </w:pPr>
    </w:p>
    <w:p w:rsidR="003649EE" w:rsidRDefault="003649EE" w:rsidP="003649EE">
      <w:pPr>
        <w:autoSpaceDE w:val="0"/>
        <w:autoSpaceDN w:val="0"/>
        <w:adjustRightInd w:val="0"/>
        <w:spacing w:after="0" w:line="240" w:lineRule="auto"/>
        <w:ind w:left="540"/>
        <w:jc w:val="center"/>
        <w:rPr>
          <w:rFonts w:ascii="Times New Roman" w:hAnsi="Times New Roman" w:cs="Times New Roman"/>
          <w:b/>
          <w:i/>
          <w:sz w:val="28"/>
          <w:szCs w:val="28"/>
        </w:rPr>
      </w:pPr>
      <w:bookmarkStart w:id="0" w:name="_GoBack"/>
      <w:bookmarkEnd w:id="0"/>
    </w:p>
    <w:sectPr w:rsidR="00364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17B4"/>
    <w:multiLevelType w:val="hybridMultilevel"/>
    <w:tmpl w:val="3D38E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354D9B"/>
    <w:multiLevelType w:val="hybridMultilevel"/>
    <w:tmpl w:val="19424318"/>
    <w:lvl w:ilvl="0" w:tplc="DD407C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AF1273E"/>
    <w:multiLevelType w:val="hybridMultilevel"/>
    <w:tmpl w:val="427E5310"/>
    <w:lvl w:ilvl="0" w:tplc="036EFD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4A"/>
    <w:rsid w:val="00101010"/>
    <w:rsid w:val="00276B92"/>
    <w:rsid w:val="00286FCC"/>
    <w:rsid w:val="002C4BE2"/>
    <w:rsid w:val="002E4B5F"/>
    <w:rsid w:val="003649EE"/>
    <w:rsid w:val="003C6207"/>
    <w:rsid w:val="003E06F6"/>
    <w:rsid w:val="0050314E"/>
    <w:rsid w:val="005428CC"/>
    <w:rsid w:val="005B5A1C"/>
    <w:rsid w:val="006F25F2"/>
    <w:rsid w:val="007377D8"/>
    <w:rsid w:val="00775A40"/>
    <w:rsid w:val="007F343A"/>
    <w:rsid w:val="008E4BEE"/>
    <w:rsid w:val="00986999"/>
    <w:rsid w:val="00AC5990"/>
    <w:rsid w:val="00AE0F0B"/>
    <w:rsid w:val="00C7296A"/>
    <w:rsid w:val="00D40D91"/>
    <w:rsid w:val="00D87928"/>
    <w:rsid w:val="00DC3911"/>
    <w:rsid w:val="00DE07A3"/>
    <w:rsid w:val="00EB6F08"/>
    <w:rsid w:val="00FE0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43A"/>
    <w:pPr>
      <w:ind w:left="720"/>
      <w:contextualSpacing/>
    </w:pPr>
  </w:style>
  <w:style w:type="paragraph" w:styleId="a4">
    <w:name w:val="Normal (Web)"/>
    <w:basedOn w:val="a"/>
    <w:uiPriority w:val="99"/>
    <w:semiHidden/>
    <w:unhideWhenUsed/>
    <w:rsid w:val="006F2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C39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43A"/>
    <w:pPr>
      <w:ind w:left="720"/>
      <w:contextualSpacing/>
    </w:pPr>
  </w:style>
  <w:style w:type="paragraph" w:styleId="a4">
    <w:name w:val="Normal (Web)"/>
    <w:basedOn w:val="a"/>
    <w:uiPriority w:val="99"/>
    <w:semiHidden/>
    <w:unhideWhenUsed/>
    <w:rsid w:val="006F2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C39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3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5518&amp;dst=100007" TargetMode="External"/><Relationship Id="rId13" Type="http://schemas.openxmlformats.org/officeDocument/2006/relationships/hyperlink" Target="https://login.consultant.ru/link/?req=doc&amp;base=RZB&amp;n=489359&amp;dst=100307" TargetMode="External"/><Relationship Id="rId18" Type="http://schemas.openxmlformats.org/officeDocument/2006/relationships/hyperlink" Target="https://login.consultant.ru/link/?req=doc&amp;base=RZB&amp;n=48935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STR&amp;n=30539&amp;dst=100497" TargetMode="External"/><Relationship Id="rId7" Type="http://schemas.openxmlformats.org/officeDocument/2006/relationships/hyperlink" Target="https://login.consultant.ru/link/?req=doc&amp;base=RZB&amp;n=525518" TargetMode="External"/><Relationship Id="rId12" Type="http://schemas.openxmlformats.org/officeDocument/2006/relationships/hyperlink" Target="https://login.consultant.ru/link/?req=doc&amp;base=RZB&amp;n=525518&amp;dst=3877" TargetMode="External"/><Relationship Id="rId17" Type="http://schemas.openxmlformats.org/officeDocument/2006/relationships/hyperlink" Target="https://login.consultant.ru/link/?req=doc&amp;base=RZB&amp;n=383542&amp;dst=129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489359&amp;dst=100309" TargetMode="External"/><Relationship Id="rId20" Type="http://schemas.openxmlformats.org/officeDocument/2006/relationships/hyperlink" Target="https://login.consultant.ru/link/?req=doc&amp;base=STR&amp;n=30539&amp;dst=100494" TargetMode="External"/><Relationship Id="rId1" Type="http://schemas.openxmlformats.org/officeDocument/2006/relationships/numbering" Target="numbering.xml"/><Relationship Id="rId6" Type="http://schemas.openxmlformats.org/officeDocument/2006/relationships/hyperlink" Target="https://login.consultant.ru/link/?req=doc&amp;base=RZB&amp;n=489359" TargetMode="External"/><Relationship Id="rId11" Type="http://schemas.openxmlformats.org/officeDocument/2006/relationships/hyperlink" Target="https://login.consultant.ru/link/?req=doc&amp;base=RZB&amp;n=525518" TargetMode="External"/><Relationship Id="rId24" Type="http://schemas.openxmlformats.org/officeDocument/2006/relationships/hyperlink" Target="https://login.consultant.ru/link/?req=doc&amp;base=RZB&amp;n=502317&amp;dst=100358"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525518&amp;dst=3872" TargetMode="External"/><Relationship Id="rId23" Type="http://schemas.openxmlformats.org/officeDocument/2006/relationships/hyperlink" Target="https://login.consultant.ru/link/?req=doc&amp;base=STR&amp;n=30539&amp;dst=100494" TargetMode="External"/><Relationship Id="rId10" Type="http://schemas.openxmlformats.org/officeDocument/2006/relationships/hyperlink" Target="https://login.consultant.ru/link/?req=doc&amp;base=RZB&amp;n=525518&amp;dst=3877" TargetMode="External"/><Relationship Id="rId19" Type="http://schemas.openxmlformats.org/officeDocument/2006/relationships/hyperlink" Target="https://login.consultant.ru/link/?req=doc&amp;base=LAW&amp;n=451571" TargetMode="External"/><Relationship Id="rId4" Type="http://schemas.openxmlformats.org/officeDocument/2006/relationships/settings" Target="settings.xml"/><Relationship Id="rId9" Type="http://schemas.openxmlformats.org/officeDocument/2006/relationships/hyperlink" Target="https://login.consultant.ru/link/?req=doc&amp;base=RZB&amp;n=525518&amp;dst=3872" TargetMode="External"/><Relationship Id="rId14" Type="http://schemas.openxmlformats.org/officeDocument/2006/relationships/hyperlink" Target="https://login.consultant.ru/link/?req=doc&amp;base=RZB&amp;n=383542&amp;dst=1295" TargetMode="External"/><Relationship Id="rId22" Type="http://schemas.openxmlformats.org/officeDocument/2006/relationships/hyperlink" Target="https://login.consultant.ru/link/?req=doc&amp;base=LAW&amp;n=276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Subotina</dc:creator>
  <cp:lastModifiedBy>Subotina</cp:lastModifiedBy>
  <cp:revision>4</cp:revision>
  <dcterms:created xsi:type="dcterms:W3CDTF">2025-12-23T11:45:00Z</dcterms:created>
  <dcterms:modified xsi:type="dcterms:W3CDTF">2026-02-20T04:59:00Z</dcterms:modified>
</cp:coreProperties>
</file>